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76" w:rsidRDefault="00C34976" w:rsidP="00C34976">
      <w:pPr>
        <w:jc w:val="center"/>
        <w:rPr>
          <w:rFonts w:ascii="Times New Roman" w:hAnsi="Times New Roman" w:cs="Times New Roman"/>
          <w:b/>
          <w:color w:val="000000"/>
        </w:rPr>
      </w:pPr>
      <w:r>
        <w:rPr>
          <w:rFonts w:ascii="Times New Roman" w:hAnsi="Times New Roman" w:cs="Times New Roman"/>
          <w:b/>
          <w:color w:val="000000"/>
        </w:rPr>
        <w:t xml:space="preserve">Requisiti di ammissione al corso di Laurea Magistrale in </w:t>
      </w:r>
    </w:p>
    <w:p w:rsidR="00C34976" w:rsidRDefault="00C34976" w:rsidP="00C34976">
      <w:pPr>
        <w:jc w:val="center"/>
        <w:rPr>
          <w:rFonts w:ascii="Times New Roman" w:hAnsi="Times New Roman" w:cs="Times New Roman"/>
          <w:b/>
          <w:color w:val="000000"/>
        </w:rPr>
      </w:pPr>
      <w:r>
        <w:rPr>
          <w:rFonts w:ascii="Times New Roman" w:hAnsi="Times New Roman" w:cs="Times New Roman"/>
          <w:b/>
          <w:color w:val="000000"/>
        </w:rPr>
        <w:t>Biotecnologie Mediche e Farmaceutiche</w:t>
      </w:r>
    </w:p>
    <w:p w:rsidR="00C34976" w:rsidRDefault="00C34976" w:rsidP="00C34976">
      <w:pPr>
        <w:jc w:val="center"/>
        <w:rPr>
          <w:rFonts w:ascii="Times New Roman" w:hAnsi="Times New Roman" w:cs="Times New Roman"/>
          <w:b/>
          <w:color w:val="000000"/>
        </w:rPr>
      </w:pP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Per essere ammesso al Corso di Laurea Magistrale in Biotecnologie Mediche e Farmaceutiche</w:t>
      </w:r>
      <w:r>
        <w:rPr>
          <w:rFonts w:ascii="Times New Roman" w:hAnsi="Times New Roman" w:cs="Times New Roman"/>
          <w:color w:val="000000"/>
        </w:rPr>
        <w:t xml:space="preserve"> </w:t>
      </w:r>
      <w:r w:rsidRPr="00C34976">
        <w:rPr>
          <w:rFonts w:ascii="Times New Roman" w:hAnsi="Times New Roman" w:cs="Times New Roman"/>
          <w:color w:val="000000"/>
        </w:rPr>
        <w:t>lo studente deve essere in possesso della laurea (ivi compresa quella conseguita secondo l’ordinamento previgente al D.M. 509/1999 e successive modificazioni e integrazioni) ovvero di altro titolo di studi conseguito all’estero, in una delle seguenti classi di cui al D.M. 509/1999: 1 Biotecnologie, 12 Scienze biologiche, 14/S Farmacia e Farmacia industriale (compresa la laurea a ciclo unico in Chimica e Tecnologie Farmaceutiche), 46/S Medicina e Chirurgia; ovvero il titolo di laurea/laurea magistrale conseguito in una delle seguenti classi di cui al D.M. 270/2004: L-2 Biotecnologie, L-13 Scienze Biologiche, LM-13 Farmacia e Farmacia industriale (compresa la laurea a ciclo unico in Chimica e Tecnologie Farmaceutiche), LM-41 Medicina e Chirurgia.</w:t>
      </w: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Gli studenti laureati in possesso di un titolo accademico conseguito in curricula diversi e classi diverse da quelli indicati al comma 1 ovvero i laureati in possesso di un titolo di studio straniero devono sostenere una prevalutazione del possesso dei requisiti curriculari. Si ritengono soddisfatti i requisiti curricolari relativi alla carriera pregressa se lo studente ha acquisito un numero minimo di crediti nelle attività formative di base e/o caratterizzanti e con riferimento ad ambiti disciplinari e/o a specifici settori scientifico-disciplinari secondo quanto qui riportato:</w:t>
      </w:r>
    </w:p>
    <w:p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10 CFU nelle discipline matematiche, fisiche, informatiche e statistiche corrispondenti ai seguenti settori scientifico-disciplinari: da FIS/01 a FIS/08, da MAT/01 a MAT/09, INF/01, MED/01, SECS-S/01, SECS-S/02;</w:t>
      </w:r>
    </w:p>
    <w:p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10 CFU nelle discipline chimiche e biologiche corrispondenti ai seguenti settori scientifico-disciplinari: CHIM/01, CHIM/02, CHIM/03, CHIM/06, BIO/01, BIO/10, BIO/11, BIO/13, BIO/17, BIO/18, BIO/19;</w:t>
      </w:r>
    </w:p>
    <w:p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20 CFU nelle discipline biotecnologiche corrispondenti ai seguenti settori scientifico-disciplinari: da BIO/01 a BIO/07, da BIO/12 a BIO/19, da CHIM/01 a CHIM/05, da CHIM/08 a CHIM/11, MED/03, MED/04, MED/05, MED/07, MED/09, MED/13, MED/15, MED/42.</w:t>
      </w: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Per l’ammissione si richiede inoltre l’adeguatezza della personale preparazione dello studente verificata attraverso una “prova di valutazione”</w:t>
      </w: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Sono esonerati dalla prevalutazione dei requisiti curriculari e dalla prova di valutazione i laureati in possesso dei requisiti indicati al comma 1 che hanno conseguito il titolo entro la data della prova di valutazione con votazione non inferiore a 80/110.</w:t>
      </w: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La Commissione, costituita da tre docenti di questo Ateneo, delegata dal Consiglio Didattico, provvederà a valutare il possesso dei requisiti curriculari e comunicare a tutti i candidati tramite posta elettronica l’esito della prevalutazione. Qualora, in fase di prevalutazione, siano riscontrate delle lacune che richiedano il sostenimento di esami aggiuntivi, si richiede al candidato di provvedere al loro superamento prima dell’immatricolazione ricorrendo all’istituto dei corsi singoli.</w:t>
      </w: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La “prova di valutazione” al Corso di Laurea Magistrale consiste in un colloquio al cospetto della Commissione (vedi comma 5) e costituisce lo strumento per verificare l’adeguatezza della preparazione personale ai fini dell’immatricolazione.</w:t>
      </w: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 xml:space="preserve">Devono sostenere la prova di valutazione: </w:t>
      </w:r>
    </w:p>
    <w:p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tutti coloro che non sono ancora laureati entro la data della prova di valutazione (vedi comma 10);</w:t>
      </w:r>
    </w:p>
    <w:p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i laureati in possesso di un titolo accademico conseguito in curricula diversi e classi diverse da quelli indicati al comma 2;</w:t>
      </w:r>
    </w:p>
    <w:p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i laureati in possesso di un titolo di studio straniero.</w:t>
      </w:r>
    </w:p>
    <w:p w:rsidR="00C34976" w:rsidRDefault="00C34976" w:rsidP="00C34976">
      <w:pPr>
        <w:jc w:val="both"/>
        <w:rPr>
          <w:rFonts w:ascii="Times New Roman" w:hAnsi="Times New Roman" w:cs="Times New Roman"/>
          <w:color w:val="000000"/>
        </w:rPr>
      </w:pPr>
    </w:p>
    <w:p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L’accesso alla Laurea magistrale è consentito anche a chi sia in procinto di conseguire un titolo di studio utile (vedi comma 1), comunque entro il 1° marzo (Immatricolazione Condizionata), e che abbia acquisito almeno 150 crediti formativi all’atto della scadenza per la presentazione della domanda di ammissione.</w:t>
      </w:r>
    </w:p>
    <w:p w:rsidR="00C34976" w:rsidRDefault="00C34976" w:rsidP="00C34976">
      <w:pPr>
        <w:jc w:val="both"/>
        <w:rPr>
          <w:rFonts w:ascii="Times New Roman" w:hAnsi="Times New Roman" w:cs="Times New Roman"/>
        </w:rPr>
      </w:pPr>
    </w:p>
    <w:p w:rsidR="005674B9" w:rsidRDefault="005674B9" w:rsidP="00C34976"/>
    <w:sectPr w:rsidR="005674B9" w:rsidSect="008B0A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po di carattere testo asiati">
    <w:altName w:val="MS PMincho"/>
    <w:charset w:val="80"/>
    <w:family w:val="roman"/>
    <w:pitch w:val="default"/>
    <w:sig w:usb0="00000000" w:usb1="00000000" w:usb2="00000000" w:usb3="00000000" w:csb0="0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0FBF"/>
    <w:multiLevelType w:val="hybridMultilevel"/>
    <w:tmpl w:val="723CDBFA"/>
    <w:lvl w:ilvl="0" w:tplc="0410000F">
      <w:start w:val="1"/>
      <w:numFmt w:val="decimal"/>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508C4426"/>
    <w:multiLevelType w:val="hybridMultilevel"/>
    <w:tmpl w:val="67EAF5E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C284653"/>
    <w:multiLevelType w:val="hybridMultilevel"/>
    <w:tmpl w:val="586A30F6"/>
    <w:lvl w:ilvl="0" w:tplc="0410000F">
      <w:start w:val="1"/>
      <w:numFmt w:val="decimal"/>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34976"/>
    <w:rsid w:val="00282DE9"/>
    <w:rsid w:val="004A0ACE"/>
    <w:rsid w:val="005674B9"/>
    <w:rsid w:val="00686F6F"/>
    <w:rsid w:val="008B0A16"/>
    <w:rsid w:val="00C349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976"/>
    <w:pPr>
      <w:suppressAutoHyphens/>
      <w:spacing w:after="0" w:line="240" w:lineRule="auto"/>
    </w:pPr>
    <w:rPr>
      <w:rFonts w:ascii="(Tipo di carattere testo asiati" w:eastAsia="Times New Roman" w:hAnsi="(Tipo di carattere testo asiati" w:cs="(Tipo di carattere testo asiati"/>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4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Hewlett-Packard Company</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Ciccone Roberto</dc:creator>
  <cp:lastModifiedBy>pietro savio</cp:lastModifiedBy>
  <cp:revision>2</cp:revision>
  <dcterms:created xsi:type="dcterms:W3CDTF">2020-05-12T08:11:00Z</dcterms:created>
  <dcterms:modified xsi:type="dcterms:W3CDTF">2020-05-12T08:11:00Z</dcterms:modified>
</cp:coreProperties>
</file>